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napToGrid w:val="0"/>
        <w:spacing w:line="440" w:lineRule="exact"/>
        <w:jc w:val="center"/>
        <w:rPr>
          <w:rFonts w:eastAsia="方正小标宋_GBK"/>
          <w:sz w:val="44"/>
          <w:szCs w:val="44"/>
        </w:rPr>
      </w:pPr>
    </w:p>
    <w:p>
      <w:pPr>
        <w:snapToGrid w:val="0"/>
        <w:spacing w:line="56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四川省大学生“综合素质A级证书”评分标准表</w:t>
      </w:r>
    </w:p>
    <w:p>
      <w:pPr>
        <w:snapToGrid w:val="0"/>
        <w:spacing w:line="2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4"/>
        <w:tblW w:w="14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008"/>
        <w:gridCol w:w="716"/>
        <w:gridCol w:w="717"/>
        <w:gridCol w:w="1769"/>
        <w:gridCol w:w="4152"/>
        <w:gridCol w:w="326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类别</w:t>
            </w:r>
          </w:p>
        </w:tc>
        <w:tc>
          <w:tcPr>
            <w:tcW w:w="5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项目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标准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证明材料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一、思想政治（20分）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A参加“青马工程” “大学生骨干培训班”等思想政治类培养计划（6分）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1.国家级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2.省部级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3.市级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4.校级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5.院系级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B思想品德方面有突出事迹，被授予道德模范、抗震救灾、见义勇为、拾金不昧、乐于助人、自强之星等奖励或表彰（6分）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6.获得国际、国家级奖励或表彰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7.获得省部级奖励或表彰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8.获得市级奖励或表彰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9.获得校级奖励或表彰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C“学习强国”学习情况（3分）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10.“学习强国”积分达到8000分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11.“学习强国”积分达到5000分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12.“学习强国”积分达到2000分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D“青年大学习”学习情况（2分）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13.参评当学期每1期“青年大学习”均完成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学校团委开具的证明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E思想政治理论课学习情况（3分）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14.平均课程成绩达到95分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15.平均课程成绩达到90分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16.平均课程成绩达到85分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二、社会实践(10分)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F参加社会实践（5分）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17.获得国家级表彰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18.获得省部级表彰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19.获得市级表彰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20.获得校级表彰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21.入选“三下乡”社会实践国家级重点团队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主办单位通知文件或报备系统后台团队截图+学校团委开具的团队成员证明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22.入选“三下乡”社会实践省级重点团队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主办单位通知文件或报备系统后台团队截图+学校团委开具的团队成员证明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23.参加“逐梦计划”社会实践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系统截图（姓名+申请记录）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G参加志愿服务（5分）</w:t>
            </w: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G1</w:t>
            </w:r>
            <w:r>
              <w:rPr>
                <w:rFonts w:eastAsia="仿宋_GB2312"/>
                <w:kern w:val="0"/>
                <w:szCs w:val="21"/>
              </w:rPr>
              <w:t>参加志愿服务工作获得表彰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24.获得国家级表彰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25.获得省部级表彰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26.获得市级表彰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27.获得校级表彰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G2参加重要项目的志愿服务工作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28.国家级证书或证明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29.省级证书或证明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30.市级证书或证明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G3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“志愿四川”平台或第二课堂成绩单志愿服务时长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31.超过72小时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系统截图（姓名+时长）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32.36小时到72小时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系统截图（姓名+时长）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三、创新创业（20分）</w:t>
            </w:r>
          </w:p>
        </w:tc>
        <w:tc>
          <w:tcPr>
            <w:tcW w:w="200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H参加创新创业竞赛（7分）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全国普通高校学科竞赛排行榜内创新创业竞赛项目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H1国家级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34.获得二等奖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35.获得三等奖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H2省级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37.获得二等奖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38.获得三等奖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H3校级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其他创新创业竞赛项目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H4国际、国家级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40.获得一等奖及以上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41.获得二等奖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H5省部级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44.获得二等奖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45.获得三等奖或其他奖励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H6市级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46.获得一等奖及以上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47.获得二等奖及以下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433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H7校级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48.获得一等奖及以上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I自主创业（3分）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49.个人或合伙自主创业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营业执照或学校相关部门开具合伙人证明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J参与科技创新（10分）</w:t>
            </w: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J1获得国家级科技奖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J2获得省部级科技奖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J3项目立项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56.科研项目立项国家级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57.科研项目立项省部级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58.科研项目立项市校级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J4发表</w:t>
            </w:r>
            <w:r>
              <w:rPr>
                <w:rFonts w:eastAsia="仿宋_GB2312"/>
                <w:kern w:val="0"/>
                <w:szCs w:val="21"/>
                <w:lang w:val="zh-CN"/>
              </w:rPr>
              <w:t>专利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59.发明型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60.实用创新型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61.外观设计型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J5科技成果转化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62.成果转让或孵化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转让或孵化协议等相关证明材料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四、专业学习（20分）</w:t>
            </w:r>
          </w:p>
        </w:tc>
        <w:tc>
          <w:tcPr>
            <w:tcW w:w="5210" w:type="dxa"/>
            <w:gridSpan w:val="4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K在校期间获得奖学金（4分）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63.获得省部级以上奖学金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64.获得校级一等奖学金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65.获得校级二等及以下奖学金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L发表学术论文或文章（7分）</w:t>
            </w:r>
          </w:p>
        </w:tc>
        <w:tc>
          <w:tcPr>
            <w:tcW w:w="71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人文社科类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发表论文（文章）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L1南大核心（CSSCI）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  <w:r>
              <w:rPr>
                <w:rFonts w:eastAsia="仿宋_GB2312"/>
                <w:kern w:val="0"/>
                <w:szCs w:val="21"/>
              </w:rPr>
              <w:t>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L2北大核心、CSSCI扩展版、国际学术期刊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3作者及以下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L3普通刊物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L4国家级官方报纸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L5省级官方报纸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参与学术会议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L6国际性学术论文集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L7国内学术论文集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理工科类</w:t>
            </w: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发表论文</w:t>
            </w: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L8国际性核心刊物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83.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84.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85.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  <w:lang w:val="zh-CN"/>
              </w:rPr>
              <w:t>作者</w:t>
            </w:r>
            <w:r>
              <w:rPr>
                <w:rFonts w:eastAsia="仿宋_GB2312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L9国内核心刊物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3作者及以下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L10普通刊物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89.第1作者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录稿通知或出版样刊截图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参与学术会议</w:t>
            </w:r>
          </w:p>
        </w:tc>
        <w:tc>
          <w:tcPr>
            <w:tcW w:w="1769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L11国际性学术论文集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716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17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69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L12国内学术论文集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录稿通知或论文集截图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M获得第二学位（4分）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93.在校期间获得第二专业毕业或学位证书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教务部门打印盖章的成绩单或相关单位开具证明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N参加专业性学科竞赛（5分）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N1国家级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94.获得一等奖及以上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95.获得二等奖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96.获得三等奖或其他奖励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N2省部级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97.获得一等奖及以上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98.获得二等奖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99.获得三等奖或其他奖励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N3市校级</w:t>
            </w:r>
          </w:p>
        </w:tc>
        <w:tc>
          <w:tcPr>
            <w:tcW w:w="4152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100.获得一等奖及以上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五、成长锻炼（10分）</w:t>
            </w: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O参加学生组织并获得良好及以上等次评议（5分）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101.省市级学联主席及以上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102.省市级学联部门工作人员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103.</w:t>
            </w:r>
            <w:r>
              <w:rPr>
                <w:rFonts w:eastAsia="仿宋_GB2312"/>
                <w:kern w:val="0"/>
                <w:szCs w:val="21"/>
                <w:lang w:val="zh-CN"/>
              </w:rPr>
              <w:t>校级主席团</w:t>
            </w:r>
            <w:r>
              <w:rPr>
                <w:rFonts w:eastAsia="仿宋_GB2312"/>
                <w:kern w:val="0"/>
                <w:szCs w:val="21"/>
              </w:rPr>
              <w:t>成员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104.</w:t>
            </w:r>
            <w:r>
              <w:rPr>
                <w:rFonts w:eastAsia="仿宋_GB2312"/>
                <w:kern w:val="0"/>
                <w:szCs w:val="21"/>
                <w:lang w:val="zh-CN"/>
              </w:rPr>
              <w:t>院系主席</w:t>
            </w:r>
            <w:r>
              <w:rPr>
                <w:rFonts w:eastAsia="仿宋_GB2312"/>
                <w:kern w:val="0"/>
                <w:szCs w:val="21"/>
              </w:rPr>
              <w:t>团成员</w:t>
            </w:r>
            <w:r>
              <w:rPr>
                <w:rFonts w:eastAsia="仿宋_GB2312"/>
                <w:kern w:val="0"/>
                <w:szCs w:val="21"/>
                <w:lang w:val="zh-CN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校级工作部门负责人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105.团支书、班长、院级工作部门负责人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106.院校工作部门成员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P获得优秀学生干部或优秀团干部、优秀共产党员、优秀共青团员、优秀毕业生等相关表彰（5分）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107.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获得省部级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109.获得市级表彰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110.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六、文体活动（10分）</w:t>
            </w: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Q参加文艺类活动（5分）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111.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112.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获得省部级奖励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113.获得市级奖励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114.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R参加体育竞赛类活动（5分）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115.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116.获得省部级奖励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117.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获得市级奖励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restart"/>
            <w:shd w:val="clear" w:color="000000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七、技能特长(10分)</w:t>
            </w: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S获得国家级职业资格（技能）证书（4分）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S1国家级职业资格证书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119.中高级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120.初级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S2国家级职业技能等级证书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121.中高级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122.初级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S3全国计算机技术与软件专业技术资格（水平）证书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123.中高级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124.初级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T获得全国计算机等级考试证书（2分）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125.三级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210" w:type="dxa"/>
            <w:gridSpan w:val="4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126.二级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U获得语言类等级考试（认证考试）证书（4分）</w:t>
            </w:r>
          </w:p>
        </w:tc>
        <w:tc>
          <w:tcPr>
            <w:tcW w:w="3202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U1普通话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127.一甲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128.一乙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129.二甲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U2全国大学专业外语八级统考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130.合格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U3全国大学专业外语四级统考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131.合格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U4全国大学英语六级统考（非英语专业)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132.合格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U5全国大学英语四级统考（非英语专业)/全国大学英语三级统考（只针对非英语专业专科)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133.合格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U6托福、雅思统考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134.合格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8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02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U7小语种考试</w:t>
            </w:r>
          </w:p>
        </w:tc>
        <w:tc>
          <w:tcPr>
            <w:tcW w:w="415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135.合格</w:t>
            </w:r>
          </w:p>
        </w:tc>
        <w:tc>
          <w:tcPr>
            <w:tcW w:w="326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</w:tbl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注: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1.认证基准条件为学业成绩无挂科记录、无处分记录，需由学校相关行政部门开具证明材料；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2.所得奖项及经历须是大学期间获得；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3.细则中所涉及同一项目的不同子项目不叠加计分，以最高得分计算，如A和B可叠加计分，A1和A2不叠加计分，以A1、A2的最高分值计算；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4.参加综合素质A级证书认定的所在学期，每1期“青年大学习”（从本学期第1期至认定工作正式启动前）均完成学习，即可取得计分；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思想政治理论课分为：专科《毛泽东思想和中国特色社会主义理论体系概论》《思想道德修养与法律基础》；本科生《马克思主义基本原理概论》《毛泽东思想和中国特色社会主义理论体系概论》《中国近现代史纲要》《思想道德修养与法律基础》；硕士研究生《中国特色社会主义理论与实践研究》必修以及《自然辩证法概论》《马克思主义与社会科学方法论》两门选修</w:t>
      </w:r>
      <w:r>
        <w:rPr>
          <w:rFonts w:hint="eastAsia" w:eastAsia="仿宋_GB2312"/>
          <w:sz w:val="28"/>
          <w:szCs w:val="28"/>
        </w:rPr>
        <w:t>；博</w:t>
      </w:r>
      <w:r>
        <w:rPr>
          <w:rFonts w:eastAsia="仿宋_GB2312"/>
          <w:sz w:val="28"/>
          <w:szCs w:val="28"/>
        </w:rPr>
        <w:t>士研究生《中国马克思主义与当代》。专升本学生提供专科阶段思政课成绩证明；研究生需提供研究生阶段的思政课成绩证明。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6.志愿服务时长取“志愿四川”平台和第二课堂成绩单中最高时长，不叠加计算；其余志愿服务时长不予认定；明年将统一认定“志愿四川”平台志愿服务时长；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7.本科生及研究生在7个类别中满足4个类别取得计分且总分数达到24分（含24分）以上则可申请参评“综合素质A级</w:t>
      </w:r>
      <w:r>
        <w:rPr>
          <w:rFonts w:hint="eastAsia" w:eastAsia="仿宋_GB2312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”，专科生在7个类别中满足4个类别取得计分且总分数达到18分（含18分）以上则可申请参评“综合素质A级</w:t>
      </w:r>
      <w:r>
        <w:rPr>
          <w:rFonts w:hint="eastAsia" w:eastAsia="仿宋_GB2312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  <w:sectPr>
          <w:pgSz w:w="16838" w:h="11906" w:orient="landscape"/>
          <w:pgMar w:top="2098" w:right="1531" w:bottom="1985" w:left="1531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sz w:val="28"/>
          <w:szCs w:val="28"/>
        </w:rPr>
        <w:t>8.本评分最终解释权属团省委学校部、省学联秘书处。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3731A"/>
    <w:rsid w:val="5513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2020-05-12T09:07:00Z</dcterms:created>
  <dc:creator>ACTION</dc:creator>
  <cp:lastModifiedBy>ACTION</cp:lastModifiedBy>
  <dcterms:modified xsi:type="dcterms:W3CDTF">2020-05-12T09:07:39Z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